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2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4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DI SPESA FINALE E RICHIESTA DI SALDO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________________ e-mail PEC _____________________________________,</w:t>
      </w:r>
    </w:p>
    <w:p>
      <w:pPr>
        <w:pStyle w:val="Normal"/>
        <w:spacing w:lineRule="auto" w:line="360"/>
        <w:rPr>
          <w:rFonts w:cs="Calibri" w:cstheme="minorHAnsi"/>
          <w:szCs w:val="22"/>
        </w:rPr>
      </w:pPr>
      <w:r>
        <w:rPr>
          <w:rFonts w:cs="Calibri"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MI6.2.1.b, riferito all’Avviso pubblico “Mi15 Spazi  e servizi per Milano a 15 minuti”</w:t>
      </w:r>
      <w:r>
        <w:rPr>
          <w:rFonts w:cs="Calibri" w:cstheme="minorHAnsi"/>
          <w:szCs w:val="22"/>
        </w:rPr>
        <w:t>, consapevole delle sanzioni penali previste dall’art. 76 del D.P.R. 28.12.2000, n. 445 s.m.i., con la presente:</w:t>
      </w:r>
      <w:bookmarkStart w:id="1" w:name="_Hlk42164185"/>
      <w:bookmarkEnd w:id="1"/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  <w:t>DICHIARA</w:t>
      </w:r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cs="Calibri" w:cstheme="minorHAnsi"/>
          <w:color w:val="auto"/>
          <w:szCs w:val="24"/>
        </w:rPr>
        <w:t xml:space="preserve">che </w:t>
      </w:r>
      <w:r>
        <w:rPr>
          <w:rFonts w:cs="Calibri" w:cstheme="minorHAnsi"/>
          <w:color w:val="auto"/>
          <w:szCs w:val="22"/>
        </w:rPr>
        <w:t xml:space="preserve">l’organizzazione </w:t>
      </w:r>
      <w:r>
        <w:rPr>
          <w:rFonts w:cs="Calibr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i dati riportati nella presente dichiarazione sono veritieri e conformi con la documentazione, comprovante la spesa, l’avvenuto pagamento e lo svolgimento delle attività;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tutti i documenti contabili originali sono stati annullati con la dicitura “</w:t>
      </w:r>
      <w:bookmarkStart w:id="2" w:name="_Hlk40427950"/>
      <w:r>
        <w:rPr>
          <w:rFonts w:asciiTheme="minorHAnsi" w:hAnsiTheme="minorHAnsi"/>
        </w:rPr>
        <w:t xml:space="preserve">Titolo del Progetto, Codice identificativo alfanumerico, dicitura “PON METRO Milano 2014-2020, </w:t>
      </w:r>
      <w:r>
        <w:rPr>
          <w:sz w:val="23"/>
          <w:szCs w:val="23"/>
        </w:rPr>
        <w:t xml:space="preserve">Azione MI6.2.1.b, </w:t>
      </w:r>
      <w:r>
        <w:rPr>
          <w:rFonts w:asciiTheme="minorHAnsi" w:hAnsiTheme="minorHAnsi"/>
        </w:rPr>
        <w:t xml:space="preserve">CUP </w:t>
      </w:r>
      <w:bookmarkEnd w:id="2"/>
      <w:r>
        <w:rPr>
          <w:rFonts w:asciiTheme="minorHAnsi" w:hAnsiTheme="minorHAnsi"/>
        </w:rPr>
        <w:t>e importo – totale o parziale – imputato al progetto finanziato</w:t>
      </w:r>
      <w:r>
        <w:rPr>
          <w:rFonts w:eastAsia="Times New Roman" w:cs="Calibri" w:cstheme="minorHAnsi"/>
          <w:color w:val="auto"/>
          <w:szCs w:val="22"/>
          <w:lang w:eastAsia="it-IT"/>
        </w:rPr>
        <w:t>” e con l’indicazione della somma esposta nel rendiconto;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/>
        <w:t>che i documenti contabili non sono stati e non saranno presentati a valere su altre agevolazioni a livello comunitario, nazionale, regionale e comunale;</w:t>
      </w:r>
      <w:bookmarkStart w:id="3" w:name="_Hlk43979350"/>
      <w:bookmarkEnd w:id="3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>
        <w:rPr>
          <w:rFonts w:cs="Calibri"/>
          <w:color w:val="auto"/>
        </w:rPr>
        <w:t xml:space="preserve"> in ______________________________, Via   ________________________________ n._____</w:t>
      </w:r>
      <w:r>
        <w:rPr>
          <w:rFonts w:eastAsia="Times New Roman" w:cs="Calibri" w:cstheme="minorHAnsi"/>
          <w:color w:val="auto"/>
          <w:szCs w:val="22"/>
          <w:lang w:eastAsia="it-IT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le allegate fatture (elettroniche/non elettroniche) in formato pdf riproducono fedelmente il contenuto dei relativi file Xml inviati allo SDI;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000000"/>
          <w:szCs w:val="22"/>
          <w:shd w:fill="auto" w:val="clear"/>
          <w:lang w:eastAsia="it-IT"/>
        </w:rPr>
        <w:t>c</w:t>
      </w:r>
      <w:r>
        <w:rPr>
          <w:rFonts w:eastAsia="Times New Roman" w:cs="Calibri" w:cstheme="minorHAnsi"/>
          <w:color w:val="auto"/>
          <w:szCs w:val="22"/>
          <w:lang w:eastAsia="it-IT"/>
        </w:rPr>
        <w:t>h</w:t>
      </w:r>
      <w:r>
        <w:rPr>
          <w:rFonts w:eastAsia="Times New Roman" w:cs="Calibri" w:cstheme="minorHAnsi"/>
          <w:color w:val="000000"/>
          <w:szCs w:val="22"/>
          <w:shd w:fill="auto" w:val="clear"/>
          <w:lang w:eastAsia="it-IT"/>
        </w:rPr>
        <w:t>e l’affidamento per le spese relative agli acquisti è stato effettuato nel rispetto delle disposizioni di Programma in materia di conflitto di interessi così come previsto dal punto 8 “Spese non ammissibili" dell’Avviso pubblico e che non sono state inserite nel programma spese riconducibili ad adeguamenti strutturali obbligatori;</w:t>
      </w:r>
      <w:bookmarkStart w:id="4" w:name="_Hlk43979373"/>
      <w:bookmarkEnd w:id="4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000000"/>
          <w:szCs w:val="22"/>
          <w:shd w:fill="auto" w:val="clear"/>
          <w:lang w:eastAsia="it-IT"/>
        </w:rPr>
        <w:t>che le spese comprovate da tale do</w:t>
      </w:r>
      <w:r>
        <w:rPr>
          <w:rFonts w:eastAsia="Times New Roman" w:cs="Calibri" w:cstheme="minorHAnsi"/>
          <w:color w:val="auto"/>
          <w:szCs w:val="22"/>
          <w:lang w:eastAsia="it-IT"/>
        </w:rPr>
        <w:t>cumentazione sono state sostenute per le finalità per le quali il contributo è stato concesso;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l’organizzazione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1)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numPr>
          <w:ilvl w:val="0"/>
          <w:numId w:val="4"/>
        </w:numPr>
        <w:snapToGrid w:val="false"/>
        <w:spacing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ha ottemperato a quanto previsto dall’art. 6, comma 2, del decreto legge 78/2010, convertito in legge n. 122/2010;</w:t>
      </w:r>
    </w:p>
    <w:p>
      <w:pPr>
        <w:pStyle w:val="ListParagraph"/>
        <w:numPr>
          <w:ilvl w:val="0"/>
          <w:numId w:val="4"/>
        </w:numPr>
        <w:snapToGrid w:val="false"/>
        <w:spacing w:lineRule="auto" w:line="360"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rientra nella tipologia degli enti esonerati dal rispetto della norma.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il/i titolare/i effettivo/i dell’Ente è/sono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2)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ind w:left="580" w:hanging="0"/>
        <w:rPr>
          <w:rFonts w:ascii="Times-Bold" w:hAnsi="Times-Bold" w:eastAsia="Calibri" w:cs="Times-Bold" w:eastAsiaTheme="minorHAnsi"/>
          <w:b/>
          <w:b/>
          <w:bCs/>
          <w:color w:val="auto"/>
          <w:sz w:val="16"/>
          <w:szCs w:val="16"/>
        </w:rPr>
      </w:pPr>
      <w:r>
        <w:rPr>
          <w:rFonts w:eastAsia="Calibri" w:cs="Times-Bold" w:eastAsiaTheme="minorHAnsi" w:ascii="Times-Bold" w:hAnsi="Times-Bold"/>
          <w:b/>
          <w:bCs/>
          <w:color w:val="auto"/>
          <w:sz w:val="16"/>
          <w:szCs w:val="16"/>
        </w:rPr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244" w:hRule="atLeast"/>
        </w:trPr>
        <w:tc>
          <w:tcPr>
            <w:tcW w:w="8924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kern w:val="0"/>
                <w:sz w:val="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spacing w:lineRule="auto" w:line="360"/>
        <w:ind w:left="851" w:hanging="0"/>
        <w:rPr>
          <w:rFonts w:ascii="Calibri" w:hAnsi="Calibri" w:cs="Calibri" w:asciiTheme="minorHAnsi" w:cstheme="minorHAnsi" w:hAnsiTheme="minorHAnsi"/>
          <w:sz w:val="2"/>
          <w:szCs w:val="22"/>
        </w:rPr>
      </w:pPr>
      <w:r>
        <w:rPr>
          <w:rFonts w:cs="Calibri" w:cstheme="minorHAnsi"/>
          <w:sz w:val="2"/>
          <w:szCs w:val="22"/>
        </w:rPr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111" w:hRule="atLeast"/>
        </w:trPr>
        <w:tc>
          <w:tcPr>
            <w:tcW w:w="8924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kern w:val="0"/>
                <w:sz w:val="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>
        <w:rPr>
          <w:b/>
          <w:sz w:val="18"/>
        </w:rPr>
        <w:t>Compilate una tabella per ogni titolare effettivo, aggiungendo altre tabelle se necessario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  <w:t>Allegare obbligatoriamente copia del documento di identità in corso di validità e codice fiscale del/i titolare/i effettivo/i se diverso/i dal rappresentante legale.</w:t>
      </w:r>
    </w:p>
    <w:p>
      <w:pPr>
        <w:pStyle w:val="Normal"/>
        <w:spacing w:lineRule="auto" w:line="240" w:before="0" w:after="0"/>
        <w:ind w:left="709" w:hanging="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RICHIEDE: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4"/>
        </w:rPr>
        <w:t xml:space="preserve">l’erogazione della quota di saldo del finanziamento </w:t>
      </w:r>
      <w:r>
        <w:rPr>
          <w:rFonts w:eastAsia="Lucida Sans Unicode" w:cs="Calibri" w:ascii="Calibri" w:hAnsi="Calibri" w:asciiTheme="minorHAnsi" w:cstheme="minorHAnsi" w:hAnsiTheme="minorHAnsi"/>
          <w:sz w:val="22"/>
          <w:szCs w:val="22"/>
          <w:lang w:eastAsia="ar-SA"/>
        </w:rPr>
        <w:t>pari a €__________________</w:t>
      </w:r>
      <w:r>
        <w:rPr>
          <w:rFonts w:cs="Calibri" w:ascii="Calibri" w:hAnsi="Calibri" w:asciiTheme="minorHAnsi" w:cstheme="minorHAnsi" w:hAnsiTheme="minorHAnsi"/>
          <w:sz w:val="22"/>
          <w:szCs w:val="24"/>
        </w:rPr>
        <w:t>;</w:t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bancario/postale;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color w:val="auto"/>
        </w:rPr>
        <w:t>ALLEGA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File excel (Allegato 7) relativo al piano analitico dei costi;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Copia della documentazione amministrativa;  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spesa;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pagamento;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9 Relazione tecnica finale;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12 Dichiarazione annullamento fatture (eventuale);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10 Dichiarazione beni usati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11 Dichiarazione assenza doppio finanziamento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Foto della sede operativa raffigurante i beni acquistati 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Foto del Poster affisso all’ingresso della sede operativa realizzato secondo i requisiti indicati al paragrafo 4.2.</w:t>
      </w:r>
    </w:p>
    <w:p>
      <w:pPr>
        <w:pStyle w:val="ListParagraph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bookmarkStart w:id="5" w:name="_Hlk38901043"/>
      <w:bookmarkStart w:id="6" w:name="_Hlk38901043"/>
      <w:bookmarkEnd w:id="6"/>
    </w:p>
    <w:p>
      <w:pPr>
        <w:pStyle w:val="Normal"/>
        <w:spacing w:lineRule="auto" w:line="240" w:before="0" w:after="0"/>
        <w:jc w:val="left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r>
        <w:br w:type="page"/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(1)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La norma non si applica ad un insieme di enti, così riassumibile:</w:t>
      </w:r>
    </w:p>
    <w:p>
      <w:pPr>
        <w:pStyle w:val="ListParagraph"/>
        <w:numPr>
          <w:ilvl w:val="0"/>
          <w:numId w:val="9"/>
        </w:numPr>
        <w:spacing w:before="60" w:after="0"/>
        <w:contextualSpacing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previsti nominativamente dal decreto legislativo n. 300 del 1999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2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Amministrazioni pubbliche, previste dal decreto legislativo n. 165 del 2001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3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Università, enti e fondazioni di ricerca e organismi equiparati.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Camere di commercio.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del servizio sanitario nazionale.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indicati nella tabella C della legge finanziaria.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previdenziali ed assistenziali nazionali.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ONLUS.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associazioni di promozione sociale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4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società.</w:t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(2)</w:t>
      </w:r>
    </w:p>
    <w:p>
      <w:pPr>
        <w:pStyle w:val="Normal"/>
        <w:tabs>
          <w:tab w:val="clear" w:pos="709"/>
          <w:tab w:val="left" w:pos="4160" w:leader="none"/>
          <w:tab w:val="left" w:pos="4678" w:leader="none"/>
        </w:tabs>
        <w:rPr>
          <w:rFonts w:ascii="Calibri" w:hAnsi="Calibri" w:cs="Calibri" w:asciiTheme="minorHAnsi" w:cstheme="minorHAnsi" w:hAnsiTheme="minorHAnsi"/>
          <w:b/>
          <w:b/>
          <w:bCs/>
          <w:sz w:val="20"/>
        </w:rPr>
      </w:pPr>
      <w:r>
        <w:rPr>
          <w:rFonts w:cs="Calibr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color w:val="19191A"/>
          <w:sz w:val="20"/>
          <w:lang w:eastAsia="it-IT"/>
        </w:rPr>
      </w:pPr>
      <w:r>
        <w:rPr>
          <w:rFonts w:cs="Calibri" w:cstheme="minorHAnsi"/>
          <w:i/>
          <w:color w:val="19191A"/>
          <w:sz w:val="20"/>
          <w:lang w:eastAsia="it-IT"/>
        </w:rPr>
        <w:t>(ex art. 20 D.Lgs.  21 novembre 2007, n. 231)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Il titolare effettivo dell’ente diversi dalle persone fisiche coincide con la persona fisica o le persone fisiche cui, in ultima istanza, è attribuibile la proprietà diretta o indiretta dell'ente ovvero il relativo controllo.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società di capitali: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diretta la titolarità di una partecipazione superiore al 25 per cento del capitale dell’ente, detenuta da una persona fisica;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indiretta la titolarità di una percentuale di partecipazioni superiore al 25 per cento del capitale dell’ente, posseduto per il tramite di società controllate, società fiduciarie o per interposta persona.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della maggioranza dei voti esercitabili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di voti sufficienti per esercitare un'influenza dominante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dell'esistenza di particolari vincoli contrattuali che consentano di esercitare un'influenza dominante.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persona giuridica privata, di cui al decreto del Presidente della Repubblica 10 febbraio 2000, n. 361, sono cumulativamente individuati, come titolari effettivi: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fondatori, ove in vita;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beneficiari, quando individuati o facilmente individuabili;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titolari di funzioni di direzione e amministrazione.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 soggetti obbligati conservano traccia delle verifiche effettuate ai fini dell'individuazione del titolare effettivo.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</w:r>
    </w:p>
    <w:p>
      <w:pPr>
        <w:pStyle w:val="Normal"/>
        <w:spacing w:before="0" w:after="6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  <w:t>(1) Articolo così sostituito dall’ art. 2, comma 1, D.Lgs. 25 maggio 2017, n. 90, che ha sostituito l’intero Titolo II.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Times-Bold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2" wp14:anchorId="2CD7B620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105" cy="23241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231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05pt;height:18.2pt;mso-wrap-style:none;v-text-anchor:middle;mso-position-vertical-relative:page" wp14:anchorId="2CD7B620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 wp14:anchorId="4D8B376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795" cy="22415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040" cy="223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5pt;height:17.55pt;mso-wrap-style:square;v-text-anchor:top" wp14:anchorId="4D8B3761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6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Dichiarazione di spesa finale e richiesta di saldo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9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3">
    <w:p>
      <w:pPr>
        <w:pStyle w:val="Notaapidipagina"/>
        <w:spacing w:before="120" w:after="0"/>
        <w:rPr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300”.</w:t>
      </w:r>
    </w:p>
  </w:footnote>
  <w:footnote w:id="4">
    <w:p>
      <w:pPr>
        <w:pStyle w:val="Normal"/>
        <w:spacing w:lineRule="auto" w:line="240" w:before="12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>
    <w:lvl w:ilvl="0">
      <w:start w:val="1"/>
      <w:numFmt w:val="bullet"/>
      <w:lvlText w:val="¨"/>
      <w:lvlJc w:val="left"/>
      <w:pPr>
        <w:tabs>
          <w:tab w:val="num" w:pos="720"/>
        </w:tabs>
        <w:ind w:left="13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06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580" w:hanging="360"/>
      </w:pPr>
      <w:rPr>
        <w:b/>
      </w:rPr>
    </w:lvl>
    <w:lvl w:ilvl="1">
      <w:start w:val="1"/>
      <w:numFmt w:val="bullet"/>
      <w:lvlText w:val="¨"/>
      <w:lvlJc w:val="left"/>
      <w:pPr>
        <w:tabs>
          <w:tab w:val="num" w:pos="1080"/>
        </w:tabs>
        <w:ind w:left="130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2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34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93F1-E1E0-4B62-86A2-A08E1B29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LibreOffice/7.2.7.2$Windows_X86_64 LibreOffice_project/8d71d29d553c0f7dcbfa38fbfda25ee34cce99a2</Application>
  <AppVersion>15.0000</AppVersion>
  <DocSecurity>0</DocSecurity>
  <Pages>6</Pages>
  <Words>1715</Words>
  <Characters>11146</Characters>
  <CharactersWithSpaces>12743</CharactersWithSpaces>
  <Paragraphs>106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2022-07-14T15:17:00Z</dcterms:created>
  <dc:creator>Riccardo Banfi</dc:creator>
  <dc:description/>
  <dc:language>it-IT</dc:language>
  <cp:lastModifiedBy/>
  <cp:lastPrinted>2020-05-18T16:39:00Z</cp:lastPrinted>
  <dcterms:modified xsi:type="dcterms:W3CDTF">2022-08-11T11:20:53Z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